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9D6" w:rsidRDefault="001E2623" w:rsidP="00202F5F">
      <w:pPr>
        <w:spacing w:after="0" w:line="259" w:lineRule="auto"/>
        <w:ind w:left="63" w:firstLine="0"/>
        <w:jc w:val="center"/>
      </w:pPr>
      <w:r>
        <w:rPr>
          <w:sz w:val="24"/>
        </w:rPr>
        <w:t>Д</w:t>
      </w:r>
      <w:r w:rsidR="00AB5C84">
        <w:rPr>
          <w:sz w:val="24"/>
        </w:rPr>
        <w:t>оговор купли-про</w:t>
      </w:r>
      <w:r w:rsidR="005A3A5C">
        <w:rPr>
          <w:sz w:val="24"/>
        </w:rPr>
        <w:t xml:space="preserve">дажи </w:t>
      </w:r>
      <w:r w:rsidR="00FE6BB9">
        <w:rPr>
          <w:sz w:val="24"/>
        </w:rPr>
        <w:t>Приложение к Накладной 2024</w:t>
      </w:r>
      <w:r w:rsidR="00AB5C84">
        <w:rPr>
          <w:sz w:val="24"/>
        </w:rPr>
        <w:t xml:space="preserve"> год</w:t>
      </w:r>
      <w:r w:rsidR="00AB5C84">
        <w:rPr>
          <w:b/>
        </w:rPr>
        <w:t xml:space="preserve"> </w:t>
      </w:r>
    </w:p>
    <w:p w:rsidR="009B69D6" w:rsidRDefault="00AB5C84">
      <w:pPr>
        <w:spacing w:after="0" w:line="259" w:lineRule="auto"/>
        <w:ind w:left="37" w:firstLine="0"/>
        <w:jc w:val="center"/>
      </w:pPr>
      <w:r>
        <w:rPr>
          <w:b/>
        </w:rPr>
        <w:t xml:space="preserve"> </w:t>
      </w:r>
    </w:p>
    <w:p w:rsidR="009B69D6" w:rsidRDefault="00AB5C84">
      <w:pPr>
        <w:spacing w:after="41" w:line="259" w:lineRule="auto"/>
        <w:ind w:left="-29" w:right="-30" w:firstLine="0"/>
      </w:pPr>
      <w:r>
        <w:rPr>
          <w:noProof/>
          <w:sz w:val="22"/>
        </w:rPr>
        <mc:AlternateContent>
          <mc:Choice Requires="wpg">
            <w:drawing>
              <wp:inline distT="0" distB="0" distL="0" distR="0">
                <wp:extent cx="6683629" cy="18288"/>
                <wp:effectExtent l="0" t="0" r="0" b="0"/>
                <wp:docPr id="1441" name="Group 1441"/>
                <wp:cNvGraphicFramePr/>
                <a:graphic xmlns:a="http://schemas.openxmlformats.org/drawingml/2006/main">
                  <a:graphicData uri="http://schemas.microsoft.com/office/word/2010/wordprocessingGroup">
                    <wpg:wgp>
                      <wpg:cNvGrpSpPr/>
                      <wpg:grpSpPr>
                        <a:xfrm>
                          <a:off x="0" y="0"/>
                          <a:ext cx="6683629" cy="18288"/>
                          <a:chOff x="0" y="0"/>
                          <a:chExt cx="6683629" cy="18288"/>
                        </a:xfrm>
                      </wpg:grpSpPr>
                      <wps:wsp>
                        <wps:cNvPr id="1724" name="Shape 1724"/>
                        <wps:cNvSpPr/>
                        <wps:spPr>
                          <a:xfrm>
                            <a:off x="0" y="0"/>
                            <a:ext cx="6683629" cy="18288"/>
                          </a:xfrm>
                          <a:custGeom>
                            <a:avLst/>
                            <a:gdLst/>
                            <a:ahLst/>
                            <a:cxnLst/>
                            <a:rect l="0" t="0" r="0" b="0"/>
                            <a:pathLst>
                              <a:path w="6683629" h="18288">
                                <a:moveTo>
                                  <a:pt x="0" y="0"/>
                                </a:moveTo>
                                <a:lnTo>
                                  <a:pt x="6683629" y="0"/>
                                </a:lnTo>
                                <a:lnTo>
                                  <a:pt x="6683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41" style="width:526.27pt;height:1.44pt;mso-position-horizontal-relative:char;mso-position-vertical-relative:line" coordsize="66836,182">
                <v:shape id="Shape 1725" style="position:absolute;width:66836;height:182;left:0;top:0;" coordsize="6683629,18288" path="m0,0l6683629,0l6683629,18288l0,18288l0,0">
                  <v:stroke weight="0pt" endcap="flat" joinstyle="miter" miterlimit="10" on="false" color="#000000" opacity="0"/>
                  <v:fill on="true" color="#000000"/>
                </v:shape>
              </v:group>
            </w:pict>
          </mc:Fallback>
        </mc:AlternateContent>
      </w:r>
    </w:p>
    <w:p w:rsidR="009B69D6" w:rsidRPr="00202F5F" w:rsidRDefault="00AB5C84" w:rsidP="00202F5F">
      <w:pPr>
        <w:spacing w:after="75" w:line="259" w:lineRule="auto"/>
        <w:ind w:left="-5"/>
        <w:jc w:val="both"/>
      </w:pPr>
      <w:r>
        <w:rPr>
          <w:b/>
          <w:sz w:val="20"/>
        </w:rPr>
        <w:t xml:space="preserve">ПРОДАВЕЦ: </w:t>
      </w:r>
      <w:r w:rsidRPr="00202F5F">
        <w:rPr>
          <w:b/>
          <w:sz w:val="20"/>
        </w:rPr>
        <w:t xml:space="preserve">Индивидуальный Предприниматель </w:t>
      </w:r>
      <w:proofErr w:type="spellStart"/>
      <w:r w:rsidRPr="00202F5F">
        <w:rPr>
          <w:b/>
          <w:sz w:val="20"/>
        </w:rPr>
        <w:t>Бикус</w:t>
      </w:r>
      <w:proofErr w:type="spellEnd"/>
      <w:r w:rsidRPr="00202F5F">
        <w:rPr>
          <w:b/>
          <w:sz w:val="20"/>
        </w:rPr>
        <w:t xml:space="preserve"> Игорь Дмитриевич </w:t>
      </w:r>
    </w:p>
    <w:p w:rsidR="00202F5F" w:rsidRPr="00202F5F" w:rsidRDefault="00AB5C84" w:rsidP="00202F5F">
      <w:pPr>
        <w:spacing w:after="0" w:line="259" w:lineRule="auto"/>
        <w:ind w:left="-5"/>
        <w:jc w:val="both"/>
        <w:rPr>
          <w:rFonts w:ascii="Times New Roman" w:eastAsia="Times New Roman" w:hAnsi="Times New Roman" w:cs="Times New Roman"/>
          <w:b/>
          <w:sz w:val="28"/>
        </w:rPr>
      </w:pPr>
      <w:r w:rsidRPr="00202F5F">
        <w:rPr>
          <w:b/>
          <w:sz w:val="20"/>
        </w:rPr>
        <w:t xml:space="preserve">141021, Московская область, г. Мытищи, ул. Юбилейная, д. 24А, кв. 29  </w:t>
      </w:r>
      <w:r w:rsidRPr="00202F5F">
        <w:rPr>
          <w:rFonts w:ascii="Times New Roman" w:eastAsia="Times New Roman" w:hAnsi="Times New Roman" w:cs="Times New Roman"/>
          <w:b/>
          <w:sz w:val="28"/>
        </w:rPr>
        <w:t xml:space="preserve"> </w:t>
      </w:r>
    </w:p>
    <w:p w:rsidR="009B69D6" w:rsidRDefault="00861F4D" w:rsidP="00202F5F">
      <w:pPr>
        <w:spacing w:after="0" w:line="259" w:lineRule="auto"/>
        <w:ind w:left="-5"/>
        <w:jc w:val="both"/>
      </w:pPr>
      <w:r w:rsidRPr="00202F5F">
        <w:rPr>
          <w:rFonts w:asciiTheme="minorHAnsi" w:eastAsia="Times New Roman" w:hAnsiTheme="minorHAnsi" w:cstheme="minorHAnsi"/>
          <w:b/>
          <w:sz w:val="20"/>
          <w:szCs w:val="20"/>
        </w:rPr>
        <w:t>ИНН</w:t>
      </w:r>
      <w:r w:rsidRPr="00202F5F">
        <w:rPr>
          <w:rFonts w:asciiTheme="minorHAnsi" w:eastAsia="Times New Roman" w:hAnsiTheme="minorHAnsi" w:cstheme="minorHAnsi"/>
          <w:b/>
          <w:sz w:val="28"/>
        </w:rPr>
        <w:t xml:space="preserve"> </w:t>
      </w:r>
      <w:r w:rsidRPr="00202F5F">
        <w:rPr>
          <w:rFonts w:asciiTheme="minorHAnsi" w:hAnsiTheme="minorHAnsi" w:cstheme="minorHAnsi"/>
          <w:b/>
          <w:sz w:val="20"/>
          <w:szCs w:val="20"/>
        </w:rPr>
        <w:t>504221962409</w:t>
      </w:r>
    </w:p>
    <w:p w:rsidR="009B69D6" w:rsidRDefault="00AB5C84">
      <w:pPr>
        <w:spacing w:after="30" w:line="259" w:lineRule="auto"/>
        <w:ind w:left="-29" w:right="-30" w:firstLine="0"/>
      </w:pPr>
      <w:r>
        <w:rPr>
          <w:noProof/>
          <w:sz w:val="22"/>
        </w:rPr>
        <mc:AlternateContent>
          <mc:Choice Requires="wpg">
            <w:drawing>
              <wp:inline distT="0" distB="0" distL="0" distR="0">
                <wp:extent cx="6683629" cy="18288"/>
                <wp:effectExtent l="0" t="0" r="0" b="0"/>
                <wp:docPr id="1442" name="Group 1442"/>
                <wp:cNvGraphicFramePr/>
                <a:graphic xmlns:a="http://schemas.openxmlformats.org/drawingml/2006/main">
                  <a:graphicData uri="http://schemas.microsoft.com/office/word/2010/wordprocessingGroup">
                    <wpg:wgp>
                      <wpg:cNvGrpSpPr/>
                      <wpg:grpSpPr>
                        <a:xfrm>
                          <a:off x="0" y="0"/>
                          <a:ext cx="6683629" cy="18288"/>
                          <a:chOff x="0" y="0"/>
                          <a:chExt cx="6683629" cy="18288"/>
                        </a:xfrm>
                      </wpg:grpSpPr>
                      <wps:wsp>
                        <wps:cNvPr id="1726" name="Shape 1726"/>
                        <wps:cNvSpPr/>
                        <wps:spPr>
                          <a:xfrm>
                            <a:off x="0" y="0"/>
                            <a:ext cx="6683629" cy="18288"/>
                          </a:xfrm>
                          <a:custGeom>
                            <a:avLst/>
                            <a:gdLst/>
                            <a:ahLst/>
                            <a:cxnLst/>
                            <a:rect l="0" t="0" r="0" b="0"/>
                            <a:pathLst>
                              <a:path w="6683629" h="18288">
                                <a:moveTo>
                                  <a:pt x="0" y="0"/>
                                </a:moveTo>
                                <a:lnTo>
                                  <a:pt x="6683629" y="0"/>
                                </a:lnTo>
                                <a:lnTo>
                                  <a:pt x="66836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42" style="width:526.27pt;height:1.44pt;mso-position-horizontal-relative:char;mso-position-vertical-relative:line" coordsize="66836,182">
                <v:shape id="Shape 1727" style="position:absolute;width:66836;height:182;left:0;top:0;" coordsize="6683629,18288" path="m0,0l6683629,0l6683629,18288l0,18288l0,0">
                  <v:stroke weight="0pt" endcap="flat" joinstyle="miter" miterlimit="10" on="false" color="#000000" opacity="0"/>
                  <v:fill on="true" color="#000000"/>
                </v:shape>
              </v:group>
            </w:pict>
          </mc:Fallback>
        </mc:AlternateContent>
      </w:r>
    </w:p>
    <w:p w:rsidR="009B69D6" w:rsidRDefault="00AB5C84">
      <w:pPr>
        <w:spacing w:after="214" w:line="259" w:lineRule="auto"/>
        <w:ind w:left="0" w:right="6" w:firstLine="0"/>
        <w:jc w:val="center"/>
      </w:pPr>
      <w:r>
        <w:rPr>
          <w:b/>
        </w:rPr>
        <w:t xml:space="preserve">ПРАВИЛА ОПЛАТЫ, ПОЛУЧЕНИЯ И ВОЗВРАТА ТОВАРА. </w:t>
      </w:r>
    </w:p>
    <w:p w:rsidR="009B69D6" w:rsidRDefault="00AB5C84">
      <w:pPr>
        <w:spacing w:after="221" w:line="259" w:lineRule="auto"/>
        <w:ind w:left="1282"/>
      </w:pPr>
      <w:r>
        <w:rPr>
          <w:b/>
        </w:rPr>
        <w:t xml:space="preserve">Оплата производится после ознакомления с правилами оплаты, получения и возврата товара и согласия с ними. </w:t>
      </w:r>
    </w:p>
    <w:p w:rsidR="009B69D6" w:rsidRDefault="00AB5C84">
      <w:pPr>
        <w:spacing w:after="204"/>
        <w:ind w:left="-5"/>
      </w:pPr>
      <w:r>
        <w:t xml:space="preserve">1.После полной 100 % оплаты товара Продавец обязан отгрузить товар в адрес Покупателя или осуществить доставку на указанный покупателям адрес. Покупатель должен обеспечить наличие свободного подъезда к месту разгрузки (не препятствующей для выгрузки товара). Время ожидания водителем-экспедитором начала приемки товара после прибытия составляет не более 1 часа (при условии, что водитель-экспедитор сделал предварительный звонок </w:t>
      </w:r>
      <w:r w:rsidR="00FE6BB9">
        <w:t>Покупателю за</w:t>
      </w:r>
      <w:r>
        <w:t xml:space="preserve"> 1-2 (один, два) часа до прибытия по указанному адресу Покупателя.) </w:t>
      </w:r>
      <w:r>
        <w:rPr>
          <w:b/>
        </w:rPr>
        <w:t>Внимание!</w:t>
      </w:r>
      <w:r>
        <w:t xml:space="preserve"> Если ожидание приемки товара после прибытия по указанному </w:t>
      </w:r>
      <w:r w:rsidR="00FE6BB9">
        <w:t>адресу доставки</w:t>
      </w:r>
      <w:r>
        <w:t xml:space="preserve"> превысило 60 </w:t>
      </w:r>
      <w:r w:rsidR="00FE6BB9">
        <w:t>минут, администрация</w:t>
      </w:r>
      <w:r>
        <w:t xml:space="preserve"> магазина оставляет за собой право перенести доставку на другую дату, с условием компенсации за повторную доставку (уведомив Покупателя СМС-оповещением и по электронной почте).  </w:t>
      </w:r>
    </w:p>
    <w:p w:rsidR="009B69D6" w:rsidRDefault="00AB5C84">
      <w:pPr>
        <w:spacing w:after="216"/>
        <w:ind w:left="-5"/>
      </w:pPr>
      <w:r>
        <w:t xml:space="preserve">2. Приемка товара клиентом производится в момент передачи товара из кузова автомобиля, даже при оказании услуги по подъему товара на этаж. </w:t>
      </w:r>
    </w:p>
    <w:p w:rsidR="009B69D6" w:rsidRDefault="00AB5C84">
      <w:pPr>
        <w:numPr>
          <w:ilvl w:val="0"/>
          <w:numId w:val="1"/>
        </w:numPr>
        <w:spacing w:after="209"/>
        <w:ind w:hanging="82"/>
      </w:pPr>
      <w:r>
        <w:t xml:space="preserve">Претензия по количеству, внешнему виду, комплектности, механическим повреждениям. Согласно Статье 458 ГК РФ «Момент исполнения обязанности продавца передать товар» и Статье 459 ГК РФ «Переход риска случайной гибели </w:t>
      </w:r>
      <w:r w:rsidR="00FE6BB9">
        <w:t>товара</w:t>
      </w:r>
      <w:proofErr w:type="gramStart"/>
      <w:r w:rsidR="00FE6BB9">
        <w:t>»,  данная</w:t>
      </w:r>
      <w:proofErr w:type="gramEnd"/>
      <w:r>
        <w:t xml:space="preserve"> претензия предъявляется до момента передачи товара продавцом покупателю. В случае если товар привезен не в полном объеме или присутствует бой, то в сопроводительные документы вносятся </w:t>
      </w:r>
      <w:r w:rsidR="00FE6BB9">
        <w:t>соответствующие изменения,</w:t>
      </w:r>
      <w:r>
        <w:t xml:space="preserve"> и оплата производится за вычетом не отгруженных позиций. </w:t>
      </w:r>
      <w:proofErr w:type="spellStart"/>
      <w:r>
        <w:t>Довоз</w:t>
      </w:r>
      <w:proofErr w:type="spellEnd"/>
      <w:r>
        <w:t xml:space="preserve"> товара производится за счет продавца в пятидневный (5-ти) срок, при наличии плитки на складе или в срок 2-3 дня после поступления плитки на склад, в случае ее отсутствия. </w:t>
      </w:r>
    </w:p>
    <w:p w:rsidR="009B69D6" w:rsidRDefault="00AB5C84">
      <w:pPr>
        <w:ind w:left="-5"/>
      </w:pPr>
      <w:r>
        <w:t xml:space="preserve">Для более оперативного решения данного вопроса необходимо поставить в известность вашего менеджера по </w:t>
      </w:r>
      <w:r w:rsidR="00FE6BB9">
        <w:t>телефону:</w:t>
      </w:r>
      <w:r>
        <w:t xml:space="preserve">                                                     </w:t>
      </w:r>
    </w:p>
    <w:p w:rsidR="00FE6BB9" w:rsidRDefault="00AB5C84" w:rsidP="00AB5C84">
      <w:pPr>
        <w:spacing w:after="17" w:line="259" w:lineRule="auto"/>
        <w:ind w:left="0" w:firstLine="0"/>
        <w:rPr>
          <w:b/>
        </w:rPr>
      </w:pPr>
      <w:r>
        <w:rPr>
          <w:b/>
        </w:rPr>
        <w:t>+7-495-532-02-49, 8(920)888-52-</w:t>
      </w:r>
      <w:proofErr w:type="gramStart"/>
      <w:r>
        <w:rPr>
          <w:b/>
        </w:rPr>
        <w:t xml:space="preserve">01,   </w:t>
      </w:r>
      <w:proofErr w:type="gramEnd"/>
      <w:r>
        <w:rPr>
          <w:b/>
        </w:rPr>
        <w:t xml:space="preserve">или по электронной почте: </w:t>
      </w:r>
      <w:r>
        <w:rPr>
          <w:b/>
          <w:color w:val="0000FF"/>
          <w:u w:val="single" w:color="0000FF"/>
        </w:rPr>
        <w:t>info@pliteo.ru</w:t>
      </w:r>
      <w:r>
        <w:rPr>
          <w:b/>
        </w:rPr>
        <w:t xml:space="preserve">          </w:t>
      </w:r>
    </w:p>
    <w:p w:rsidR="009B69D6" w:rsidRDefault="00FE6BB9" w:rsidP="00AB5C84">
      <w:pPr>
        <w:spacing w:after="17" w:line="259" w:lineRule="auto"/>
        <w:ind w:left="0" w:firstLine="0"/>
      </w:pPr>
      <w:r>
        <w:rPr>
          <w:b/>
        </w:rPr>
        <w:t xml:space="preserve">- +7-926-427-33-56 руководитель отдела продаж </w:t>
      </w:r>
      <w:proofErr w:type="spellStart"/>
      <w:r>
        <w:rPr>
          <w:b/>
        </w:rPr>
        <w:t>Тараева</w:t>
      </w:r>
      <w:proofErr w:type="spellEnd"/>
      <w:r>
        <w:rPr>
          <w:b/>
        </w:rPr>
        <w:t xml:space="preserve"> Светлана Александровна</w:t>
      </w:r>
      <w:r w:rsidR="00AB5C84">
        <w:rPr>
          <w:b/>
        </w:rPr>
        <w:t xml:space="preserve">                                                                                                                                        </w:t>
      </w:r>
    </w:p>
    <w:p w:rsidR="009B69D6" w:rsidRDefault="00AB5C84">
      <w:pPr>
        <w:numPr>
          <w:ilvl w:val="0"/>
          <w:numId w:val="1"/>
        </w:numPr>
        <w:ind w:hanging="82"/>
      </w:pPr>
      <w:r>
        <w:t xml:space="preserve">Исключения составляют погодные условия или темное время суток, в таком случае приемка происходит в подъезде дома или в ближайшем подсобном помещении под крышей и с достаточным освещением.                                                                                                                                                                      </w:t>
      </w:r>
    </w:p>
    <w:p w:rsidR="009B69D6" w:rsidRDefault="00AB5C84">
      <w:pPr>
        <w:ind w:left="-5"/>
      </w:pPr>
      <w:r>
        <w:t xml:space="preserve">При приемке товара необходимо в присутствии водителя-экспедитора: </w:t>
      </w:r>
    </w:p>
    <w:p w:rsidR="009B69D6" w:rsidRDefault="00AB5C84">
      <w:pPr>
        <w:numPr>
          <w:ilvl w:val="0"/>
          <w:numId w:val="1"/>
        </w:numPr>
        <w:ind w:hanging="82"/>
      </w:pPr>
      <w:r>
        <w:t xml:space="preserve">проверить комплектацию всего заказа и каждого товара в </w:t>
      </w:r>
      <w:proofErr w:type="gramStart"/>
      <w:r w:rsidR="00FE6BB9">
        <w:t xml:space="preserve">отдельности;  </w:t>
      </w:r>
      <w:r>
        <w:t xml:space="preserve"> </w:t>
      </w:r>
      <w:proofErr w:type="gramEnd"/>
      <w:r>
        <w:t xml:space="preserve">                                                                                                                                              - проверить правильность заполнения сопутствующих документов;                                                                                                                                                                         </w:t>
      </w:r>
    </w:p>
    <w:p w:rsidR="009B69D6" w:rsidRDefault="00AB5C84">
      <w:pPr>
        <w:numPr>
          <w:ilvl w:val="0"/>
          <w:numId w:val="1"/>
        </w:numPr>
        <w:ind w:hanging="82"/>
      </w:pPr>
      <w:r>
        <w:t xml:space="preserve">убедиться в отсутствии на товарах видимых механических повреждений, боя, сколов, особое внимание необходимо уделить декоративным </w:t>
      </w:r>
    </w:p>
    <w:p w:rsidR="009B69D6" w:rsidRDefault="00AB5C84">
      <w:pPr>
        <w:ind w:left="-5"/>
      </w:pPr>
      <w:r>
        <w:t xml:space="preserve">элементам;                                                                                                                                                                                                                                                                                    </w:t>
      </w:r>
    </w:p>
    <w:p w:rsidR="009B69D6" w:rsidRDefault="00AB5C84">
      <w:pPr>
        <w:numPr>
          <w:ilvl w:val="0"/>
          <w:numId w:val="1"/>
        </w:numPr>
        <w:spacing w:after="216"/>
        <w:ind w:hanging="82"/>
      </w:pPr>
      <w:r>
        <w:t xml:space="preserve">убедиться, что тон и калибр товара (указанный на упаковке) совпадает с заказанным.  </w:t>
      </w:r>
    </w:p>
    <w:p w:rsidR="009B69D6" w:rsidRDefault="00AB5C84" w:rsidP="00B32226">
      <w:pPr>
        <w:numPr>
          <w:ilvl w:val="0"/>
          <w:numId w:val="1"/>
        </w:numPr>
        <w:spacing w:after="206" w:line="278" w:lineRule="auto"/>
        <w:ind w:left="-5" w:right="-12" w:hanging="82"/>
        <w:jc w:val="both"/>
      </w:pPr>
      <w:r w:rsidRPr="001E2623">
        <w:rPr>
          <w:b/>
        </w:rPr>
        <w:t xml:space="preserve">При отказе от товара в момент доставки, (заказа) услуга «Доставка» оплачивается 100 </w:t>
      </w:r>
      <w:r w:rsidR="00FE6BB9" w:rsidRPr="001E2623">
        <w:rPr>
          <w:b/>
        </w:rPr>
        <w:t>%</w:t>
      </w:r>
      <w:r w:rsidR="00FE6BB9">
        <w:t>.</w:t>
      </w:r>
      <w:r>
        <w:t xml:space="preserve"> Покупатель оплачивает все транспортные расходы согласно подтвержденному заказу. Факт приема товара по внешнему виду, комплектации и наличию документов подтверждается подписью покупателя в накладной, и свидетельствует об отсутствии претензий к товару. Помните, что претензии по внешнему виду доставленного товара, в соответствии со ст. 458 и 459 ГК РФ, можно предъявить только до момента передачи товара. 3.Отказ от товара, претензия на возврат товара надлежащего качества (в том числе излишки</w:t>
      </w:r>
      <w:r w:rsidR="002B6731">
        <w:t>).</w:t>
      </w:r>
      <w:r w:rsidR="002B6731" w:rsidRPr="001E2623">
        <w:rPr>
          <w:b/>
        </w:rPr>
        <w:t xml:space="preserve"> Покупка</w:t>
      </w:r>
      <w:r w:rsidRPr="001E2623">
        <w:rPr>
          <w:b/>
        </w:rPr>
        <w:t xml:space="preserve"> товара в интернет-магазине относится к дистанционным способам продажи</w:t>
      </w:r>
      <w:r>
        <w:t xml:space="preserve">, </w:t>
      </w:r>
      <w:r w:rsidR="002B6731">
        <w:t>и процедура</w:t>
      </w:r>
      <w:r>
        <w:t xml:space="preserve"> возврата регулируется пунктом 4 статьи 26.1. Закона «О защите прав потребителей». «Потребитель вправе отказаться от товара в любое время до его передачи, а после передачи товара - в течение 7 (</w:t>
      </w:r>
      <w:r w:rsidR="002B6731">
        <w:t>семи) дней</w:t>
      </w:r>
      <w:r>
        <w:t xml:space="preserve">. 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 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 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 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w:t>
      </w:r>
      <w:r w:rsidR="002B6731">
        <w:t>10 (</w:t>
      </w:r>
      <w:r>
        <w:t>десять</w:t>
      </w:r>
      <w:r w:rsidR="002B6731">
        <w:t>)</w:t>
      </w:r>
      <w:r>
        <w:t xml:space="preserve"> дней со дня предъявления потребителем соответствующего требования</w:t>
      </w:r>
      <w:r w:rsidRPr="001E2623">
        <w:rPr>
          <w:b/>
        </w:rPr>
        <w:t xml:space="preserve">». Претензии по плитке надлежащего качества после ее укладки – не принимаются. </w:t>
      </w:r>
    </w:p>
    <w:p w:rsidR="009B69D6" w:rsidRDefault="00AB5C84">
      <w:pPr>
        <w:spacing w:after="231" w:line="278" w:lineRule="auto"/>
        <w:ind w:left="-5" w:right="-12"/>
        <w:jc w:val="both"/>
      </w:pPr>
      <w:r w:rsidRPr="002B6731">
        <w:rPr>
          <w:b/>
          <w:u w:val="single"/>
        </w:rPr>
        <w:t>Возврат товара при осуществлении покупки через Розничный магазин (шоу-</w:t>
      </w:r>
      <w:proofErr w:type="spellStart"/>
      <w:r w:rsidRPr="002B6731">
        <w:rPr>
          <w:b/>
          <w:u w:val="single"/>
        </w:rPr>
        <w:t>рум</w:t>
      </w:r>
      <w:proofErr w:type="spellEnd"/>
      <w:r w:rsidRPr="002B6731">
        <w:rPr>
          <w:b/>
          <w:u w:val="single"/>
        </w:rPr>
        <w:t>)</w:t>
      </w:r>
      <w:r>
        <w:t xml:space="preserve">, может быть осуществлен в соответствии со ст.25 Закона РФ </w:t>
      </w:r>
      <w:proofErr w:type="gramStart"/>
      <w:r>
        <w:t>«  О</w:t>
      </w:r>
      <w:proofErr w:type="gramEnd"/>
      <w:r>
        <w:t xml:space="preserve"> защите прав потребителей»  только на перечень продукции, входящей в постоянную товарную программу компании-продавца в срок до 14</w:t>
      </w:r>
      <w:r w:rsidR="002B6731">
        <w:t xml:space="preserve"> (четырнадцати)</w:t>
      </w:r>
      <w:r>
        <w:t xml:space="preserve"> дней не считая даты покупки. При возврате должен быть сохранен товарный вид, не нарушена целостность упаковки. Необходимо иметь </w:t>
      </w:r>
      <w:r w:rsidR="002B6731">
        <w:t>документ,</w:t>
      </w:r>
      <w:r>
        <w:t xml:space="preserve"> подтверждающий оплату товара. Метражная плитка принимается к возврату целыми упаковками, декоративные элементы – поштучно. Товар, имеющий маркировку н</w:t>
      </w:r>
      <w:r w:rsidR="002B6731">
        <w:t>а выставочном образце «ПОД ЗАКАЗ</w:t>
      </w:r>
      <w:r>
        <w:t>»</w:t>
      </w:r>
      <w:r w:rsidR="002B6731">
        <w:t>, «АКЦИЯ», «РАСПРОДАЖА»</w:t>
      </w:r>
      <w:r>
        <w:t xml:space="preserve"> возврату и обмену не подлежит в соответствии с п.4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w:t>
      </w:r>
      <w:r w:rsidR="002B6731">
        <w:t>(Утвержден</w:t>
      </w:r>
      <w:r>
        <w:t xml:space="preserve"> Постановлением Правительства Российской Федерации от 19.01.1998г №55).  </w:t>
      </w:r>
    </w:p>
    <w:p w:rsidR="001E2623" w:rsidRDefault="00AB5C84" w:rsidP="001E2623">
      <w:pPr>
        <w:spacing w:after="194" w:line="259" w:lineRule="auto"/>
        <w:ind w:left="0" w:firstLine="0"/>
        <w:rPr>
          <w:b/>
        </w:rPr>
      </w:pPr>
      <w:proofErr w:type="gramStart"/>
      <w:r>
        <w:t>Затирочные ,</w:t>
      </w:r>
      <w:proofErr w:type="gramEnd"/>
      <w:r>
        <w:t xml:space="preserve"> клеевые смеси возврату и обмену не подлежат</w:t>
      </w:r>
      <w:r>
        <w:rPr>
          <w:b/>
          <w:u w:val="single" w:color="000000"/>
        </w:rPr>
        <w:t xml:space="preserve">. </w:t>
      </w:r>
      <w:proofErr w:type="spellStart"/>
      <w:r>
        <w:rPr>
          <w:b/>
          <w:sz w:val="18"/>
          <w:u w:val="single" w:color="000000"/>
        </w:rPr>
        <w:t>Акционный</w:t>
      </w:r>
      <w:proofErr w:type="spellEnd"/>
      <w:r>
        <w:rPr>
          <w:b/>
          <w:sz w:val="18"/>
          <w:u w:val="single" w:color="000000"/>
        </w:rPr>
        <w:t xml:space="preserve"> и Распродажный товар обмену и возврату не подлежат</w:t>
      </w:r>
      <w:r>
        <w:rPr>
          <w:b/>
          <w:u w:val="single" w:color="000000"/>
        </w:rPr>
        <w:t>.</w:t>
      </w:r>
      <w:r>
        <w:rPr>
          <w:b/>
        </w:rPr>
        <w:t xml:space="preserve"> </w:t>
      </w:r>
      <w:bookmarkStart w:id="0" w:name="_GoBack"/>
      <w:bookmarkEnd w:id="0"/>
    </w:p>
    <w:p w:rsidR="009B69D6" w:rsidRDefault="00AB5C84" w:rsidP="001E2623">
      <w:pPr>
        <w:spacing w:after="194" w:line="259" w:lineRule="auto"/>
        <w:ind w:left="0" w:firstLine="0"/>
      </w:pPr>
      <w:r>
        <w:rPr>
          <w:b/>
        </w:rPr>
        <w:t xml:space="preserve">С правилами оплаты, получения и возврата товара </w:t>
      </w:r>
      <w:proofErr w:type="gramStart"/>
      <w:r>
        <w:rPr>
          <w:b/>
        </w:rPr>
        <w:t>согласен  (</w:t>
      </w:r>
      <w:proofErr w:type="gramEnd"/>
      <w:r>
        <w:rPr>
          <w:b/>
        </w:rPr>
        <w:t xml:space="preserve">Ф.И.О.) Покупателя/подпись__________________________________________________ </w:t>
      </w:r>
    </w:p>
    <w:p w:rsidR="009B69D6" w:rsidRDefault="00AB5C84">
      <w:pPr>
        <w:spacing w:after="221" w:line="259" w:lineRule="auto"/>
        <w:ind w:left="-5"/>
      </w:pPr>
      <w:r>
        <w:rPr>
          <w:b/>
        </w:rPr>
        <w:t xml:space="preserve">Товар получен </w:t>
      </w:r>
      <w:proofErr w:type="gramStart"/>
      <w:r>
        <w:rPr>
          <w:b/>
        </w:rPr>
        <w:t>полностью,  надлежащего</w:t>
      </w:r>
      <w:proofErr w:type="gramEnd"/>
      <w:r>
        <w:rPr>
          <w:b/>
        </w:rPr>
        <w:t xml:space="preserve"> качества, претензий не имею (подпись) __________________________________________________</w:t>
      </w:r>
      <w:r w:rsidR="00D721EC">
        <w:rPr>
          <w:b/>
        </w:rPr>
        <w:t>________</w:t>
      </w:r>
      <w:r>
        <w:rPr>
          <w:b/>
        </w:rPr>
        <w:t xml:space="preserve"> </w:t>
      </w:r>
    </w:p>
    <w:sectPr w:rsidR="009B69D6" w:rsidSect="001E2623">
      <w:pgSz w:w="11904" w:h="16838"/>
      <w:pgMar w:top="720" w:right="720" w:bottom="720" w:left="720" w:header="720" w:footer="720" w:gutter="0"/>
      <w:cols w:space="720"/>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B1BC8"/>
    <w:multiLevelType w:val="hybridMultilevel"/>
    <w:tmpl w:val="179AE624"/>
    <w:lvl w:ilvl="0" w:tplc="83886528">
      <w:start w:val="1"/>
      <w:numFmt w:val="bullet"/>
      <w:lvlText w:val="-"/>
      <w:lvlJc w:val="left"/>
      <w:pPr>
        <w:ind w:left="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BD65398">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11C378A">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D9E4808">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906FEB2">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21E0A24">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D1EF070">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F027D62">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1D0EE60">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9D6"/>
    <w:rsid w:val="001E2623"/>
    <w:rsid w:val="00202F5F"/>
    <w:rsid w:val="002B6731"/>
    <w:rsid w:val="005A3A5C"/>
    <w:rsid w:val="00861F4D"/>
    <w:rsid w:val="009B69D6"/>
    <w:rsid w:val="00AB5C84"/>
    <w:rsid w:val="00D721EC"/>
    <w:rsid w:val="00FE6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3680F"/>
  <w15:docId w15:val="{31C0F348-7EF5-4267-8146-F65D20E2B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70" w:lineRule="auto"/>
      <w:ind w:left="10" w:hanging="10"/>
    </w:pPr>
    <w:rPr>
      <w:rFonts w:ascii="Calibri" w:eastAsia="Calibri" w:hAnsi="Calibri" w:cs="Calibri"/>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262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E262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1079</Words>
  <Characters>6153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dc:title>
  <dc:subject/>
  <dc:creator>*</dc:creator>
  <cp:keywords/>
  <cp:lastModifiedBy>User</cp:lastModifiedBy>
  <cp:revision>9</cp:revision>
  <cp:lastPrinted>2022-03-07T06:41:00Z</cp:lastPrinted>
  <dcterms:created xsi:type="dcterms:W3CDTF">2022-03-07T06:40:00Z</dcterms:created>
  <dcterms:modified xsi:type="dcterms:W3CDTF">2024-02-09T07:23:00Z</dcterms:modified>
</cp:coreProperties>
</file>